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58" w:rsidRDefault="002E44A4">
      <w:pPr>
        <w:rPr>
          <w:b/>
        </w:rPr>
      </w:pPr>
      <w:r>
        <w:rPr>
          <w:b/>
        </w:rPr>
        <w:t>MILITARY WRITERS GUILD – AUSTRALIA</w:t>
      </w:r>
      <w:r w:rsidR="00B10BCA">
        <w:rPr>
          <w:b/>
        </w:rPr>
        <w:t xml:space="preserve"> – </w:t>
      </w:r>
    </w:p>
    <w:p w:rsidR="00B10BCA" w:rsidRDefault="00B10BCA">
      <w:pPr>
        <w:rPr>
          <w:b/>
        </w:rPr>
      </w:pPr>
    </w:p>
    <w:p w:rsidR="00B10BCA" w:rsidRDefault="00B10BCA">
      <w:pPr>
        <w:rPr>
          <w:b/>
        </w:rPr>
      </w:pPr>
      <w:r>
        <w:rPr>
          <w:b/>
        </w:rPr>
        <w:t>WORKSHOP @ AUSTRALIAN DEFENCE COLLEGE, WESTON CREEK</w:t>
      </w:r>
    </w:p>
    <w:p w:rsidR="00B10BCA" w:rsidRDefault="00B10BCA">
      <w:pPr>
        <w:rPr>
          <w:b/>
        </w:rPr>
      </w:pPr>
    </w:p>
    <w:p w:rsidR="00B10BCA" w:rsidRDefault="00B10BCA">
      <w:r>
        <w:rPr>
          <w:b/>
        </w:rPr>
        <w:t>Saturday 10 December 2016</w:t>
      </w:r>
    </w:p>
    <w:p w:rsidR="002E44A4" w:rsidRDefault="002E44A4"/>
    <w:p w:rsidR="002E44A4" w:rsidRDefault="002E44A4">
      <w:r>
        <w:rPr>
          <w:b/>
        </w:rPr>
        <w:t>Workshop intent</w:t>
      </w:r>
    </w:p>
    <w:p w:rsidR="002E44A4" w:rsidRDefault="002E44A4">
      <w:r>
        <w:t>T</w:t>
      </w:r>
      <w:r w:rsidR="00C87922">
        <w:t>he aim of this workshop is t</w:t>
      </w:r>
      <w:r>
        <w:t>o en</w:t>
      </w:r>
      <w:r w:rsidR="00494752">
        <w:t>able</w:t>
      </w:r>
      <w:r>
        <w:t xml:space="preserve"> ADF members to respectfully and safely engage in debates regarding strategy, the use of military force, and the develo</w:t>
      </w:r>
      <w:r w:rsidR="00494752">
        <w:t>pment of the profession of arms, through different media – including blogs, podcasts, and academic writing.</w:t>
      </w:r>
      <w:bookmarkStart w:id="0" w:name="_GoBack"/>
      <w:bookmarkEnd w:id="0"/>
    </w:p>
    <w:p w:rsidR="002E44A4" w:rsidRDefault="002E44A4"/>
    <w:p w:rsidR="002E44A4" w:rsidRDefault="00327A7C">
      <w:r>
        <w:t>This</w:t>
      </w:r>
      <w:r w:rsidR="002E44A4">
        <w:t xml:space="preserve"> intent </w:t>
      </w:r>
      <w:r>
        <w:t xml:space="preserve">can be achieved </w:t>
      </w:r>
      <w:r w:rsidR="002E44A4">
        <w:t xml:space="preserve">through an exchange of ideas </w:t>
      </w:r>
      <w:r w:rsidR="00A44D31">
        <w:t>with panel members, sharing of ideas and concepts, and also through mentoring opportunities.</w:t>
      </w:r>
    </w:p>
    <w:p w:rsidR="00A44D31" w:rsidRDefault="00A44D31"/>
    <w:p w:rsidR="00A44D31" w:rsidRDefault="00A44D31">
      <w:r>
        <w:t xml:space="preserve">The workshop is scheduled </w:t>
      </w:r>
      <w:r w:rsidR="00D97214">
        <w:t>for</w:t>
      </w:r>
      <w:r>
        <w:t xml:space="preserve"> Sat 10 Dec 16, as an adjunct to t</w:t>
      </w:r>
      <w:r w:rsidR="000613D7">
        <w:t>he DEF[X] Australia, which runs</w:t>
      </w:r>
      <w:r>
        <w:t xml:space="preserve"> from 08-09 Dec 16.</w:t>
      </w:r>
    </w:p>
    <w:p w:rsidR="000613D7" w:rsidRDefault="000613D7"/>
    <w:p w:rsidR="000613D7" w:rsidRPr="000613D7" w:rsidRDefault="000613D7">
      <w:pPr>
        <w:rPr>
          <w:b/>
        </w:rPr>
      </w:pPr>
      <w:r>
        <w:rPr>
          <w:b/>
        </w:rPr>
        <w:t>Proposed schedule</w:t>
      </w:r>
    </w:p>
    <w:p w:rsidR="000613D7" w:rsidRDefault="000613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4359"/>
      </w:tblGrid>
      <w:tr w:rsidR="000613D7" w:rsidTr="008625C9">
        <w:tc>
          <w:tcPr>
            <w:tcW w:w="1668" w:type="dxa"/>
          </w:tcPr>
          <w:p w:rsidR="000613D7" w:rsidRPr="000613D7" w:rsidRDefault="000613D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827" w:type="dxa"/>
          </w:tcPr>
          <w:p w:rsidR="000613D7" w:rsidRPr="000613D7" w:rsidRDefault="000613D7">
            <w:pPr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4359" w:type="dxa"/>
          </w:tcPr>
          <w:p w:rsidR="000613D7" w:rsidRPr="000613D7" w:rsidRDefault="000613D7">
            <w:pPr>
              <w:rPr>
                <w:b/>
              </w:rPr>
            </w:pPr>
            <w:r>
              <w:rPr>
                <w:b/>
              </w:rPr>
              <w:t>Speaker / Panel Members</w:t>
            </w:r>
          </w:p>
        </w:tc>
      </w:tr>
      <w:tr w:rsidR="000613D7" w:rsidTr="008625C9">
        <w:tc>
          <w:tcPr>
            <w:tcW w:w="1668" w:type="dxa"/>
          </w:tcPr>
          <w:p w:rsidR="000613D7" w:rsidRDefault="00A86AAD" w:rsidP="001812ED">
            <w:r>
              <w:t>093</w:t>
            </w:r>
            <w:r w:rsidR="000613D7">
              <w:t>0-094</w:t>
            </w:r>
            <w:r w:rsidR="001812ED">
              <w:t>0</w:t>
            </w:r>
          </w:p>
        </w:tc>
        <w:tc>
          <w:tcPr>
            <w:tcW w:w="3827" w:type="dxa"/>
          </w:tcPr>
          <w:p w:rsidR="000613D7" w:rsidRDefault="000613D7">
            <w:r>
              <w:t>Welcome and overview</w:t>
            </w:r>
          </w:p>
        </w:tc>
        <w:tc>
          <w:tcPr>
            <w:tcW w:w="4359" w:type="dxa"/>
          </w:tcPr>
          <w:p w:rsidR="000613D7" w:rsidRDefault="000613D7">
            <w:r>
              <w:t xml:space="preserve">WGCDR </w:t>
            </w:r>
            <w:r w:rsidR="00A86AAD">
              <w:t xml:space="preserve">Jo </w:t>
            </w:r>
            <w:r>
              <w:t>Brick</w:t>
            </w:r>
          </w:p>
        </w:tc>
      </w:tr>
      <w:tr w:rsidR="000613D7" w:rsidTr="008625C9">
        <w:tc>
          <w:tcPr>
            <w:tcW w:w="1668" w:type="dxa"/>
          </w:tcPr>
          <w:p w:rsidR="000613D7" w:rsidRDefault="001812ED" w:rsidP="001812ED">
            <w:r>
              <w:t>0940</w:t>
            </w:r>
            <w:r w:rsidR="000613D7">
              <w:t>-101</w:t>
            </w:r>
            <w:r>
              <w:t>0</w:t>
            </w:r>
          </w:p>
        </w:tc>
        <w:tc>
          <w:tcPr>
            <w:tcW w:w="3827" w:type="dxa"/>
          </w:tcPr>
          <w:p w:rsidR="000613D7" w:rsidRDefault="000613D7">
            <w:r>
              <w:t>Writing and the Profession of Arms</w:t>
            </w:r>
          </w:p>
        </w:tc>
        <w:tc>
          <w:tcPr>
            <w:tcW w:w="4359" w:type="dxa"/>
          </w:tcPr>
          <w:p w:rsidR="000613D7" w:rsidRDefault="000613D7">
            <w:r>
              <w:t xml:space="preserve">BRIG </w:t>
            </w:r>
            <w:r w:rsidR="00A86AAD">
              <w:t xml:space="preserve">Mick </w:t>
            </w:r>
            <w:r>
              <w:t>Ryan</w:t>
            </w:r>
          </w:p>
        </w:tc>
      </w:tr>
      <w:tr w:rsidR="000613D7" w:rsidTr="008625C9">
        <w:tc>
          <w:tcPr>
            <w:tcW w:w="1668" w:type="dxa"/>
          </w:tcPr>
          <w:p w:rsidR="000613D7" w:rsidRDefault="001812ED">
            <w:r>
              <w:t>1010-105</w:t>
            </w:r>
            <w:r w:rsidR="008625C9">
              <w:t>0</w:t>
            </w:r>
          </w:p>
        </w:tc>
        <w:tc>
          <w:tcPr>
            <w:tcW w:w="3827" w:type="dxa"/>
          </w:tcPr>
          <w:p w:rsidR="000613D7" w:rsidRDefault="008625C9">
            <w:r>
              <w:t>Rules of Engagement</w:t>
            </w:r>
          </w:p>
        </w:tc>
        <w:tc>
          <w:tcPr>
            <w:tcW w:w="4359" w:type="dxa"/>
          </w:tcPr>
          <w:p w:rsidR="000613D7" w:rsidRDefault="008625C9">
            <w:r>
              <w:t>MAJ Clare O’Neill and MAJ Mick Cook / MAJ Felicity Hamblin</w:t>
            </w:r>
          </w:p>
        </w:tc>
      </w:tr>
      <w:tr w:rsidR="008625C9" w:rsidTr="008625C9">
        <w:tc>
          <w:tcPr>
            <w:tcW w:w="1668" w:type="dxa"/>
          </w:tcPr>
          <w:p w:rsidR="008625C9" w:rsidRDefault="001812ED" w:rsidP="001812ED">
            <w:r>
              <w:t>1050-11</w:t>
            </w:r>
            <w:r w:rsidR="00B410F5">
              <w:t>20</w:t>
            </w:r>
          </w:p>
        </w:tc>
        <w:tc>
          <w:tcPr>
            <w:tcW w:w="3827" w:type="dxa"/>
          </w:tcPr>
          <w:p w:rsidR="008625C9" w:rsidRDefault="008625C9">
            <w:r>
              <w:t>Morning Tea</w:t>
            </w:r>
          </w:p>
        </w:tc>
        <w:tc>
          <w:tcPr>
            <w:tcW w:w="4359" w:type="dxa"/>
          </w:tcPr>
          <w:p w:rsidR="008625C9" w:rsidRDefault="008625C9"/>
        </w:tc>
      </w:tr>
      <w:tr w:rsidR="008625C9" w:rsidTr="008625C9">
        <w:tc>
          <w:tcPr>
            <w:tcW w:w="1668" w:type="dxa"/>
          </w:tcPr>
          <w:p w:rsidR="008625C9" w:rsidRDefault="00B410F5">
            <w:r>
              <w:t>112</w:t>
            </w:r>
            <w:r w:rsidR="00A86AAD">
              <w:t>0-1250</w:t>
            </w:r>
          </w:p>
        </w:tc>
        <w:tc>
          <w:tcPr>
            <w:tcW w:w="3827" w:type="dxa"/>
          </w:tcPr>
          <w:p w:rsidR="008625C9" w:rsidRDefault="008625C9">
            <w:r>
              <w:t>Writing Experiences</w:t>
            </w:r>
            <w:r w:rsidR="00B152A9">
              <w:t xml:space="preserve"> – different forms of sharing ideas / writing – how people started and some tips for newbies (ie Starting Writing 101)</w:t>
            </w:r>
          </w:p>
        </w:tc>
        <w:tc>
          <w:tcPr>
            <w:tcW w:w="4359" w:type="dxa"/>
          </w:tcPr>
          <w:p w:rsidR="008625C9" w:rsidRDefault="008625C9">
            <w:r>
              <w:t>Blogs: MAJ Nate Finney</w:t>
            </w:r>
            <w:r w:rsidR="00DC2D4C">
              <w:t xml:space="preserve"> </w:t>
            </w:r>
            <w:r w:rsidR="00A86AAD">
              <w:t>/</w:t>
            </w:r>
            <w:r>
              <w:t xml:space="preserve"> </w:t>
            </w:r>
            <w:r w:rsidR="001812ED">
              <w:t>‘</w:t>
            </w:r>
            <w:r w:rsidR="00A86AAD">
              <w:t>Doctrine Man!</w:t>
            </w:r>
            <w:r w:rsidR="001812ED">
              <w:t>’</w:t>
            </w:r>
            <w:r>
              <w:t xml:space="preserve"> / </w:t>
            </w:r>
            <w:r w:rsidR="00A86AAD">
              <w:t>‘Angry Staff Officer’</w:t>
            </w:r>
            <w:r w:rsidR="001812ED">
              <w:t xml:space="preserve"> / MAJ Clare O’Neill</w:t>
            </w:r>
            <w:r w:rsidR="007B7796">
              <w:t xml:space="preserve"> (50 mins)</w:t>
            </w:r>
          </w:p>
          <w:p w:rsidR="008625C9" w:rsidRDefault="008625C9"/>
          <w:p w:rsidR="008625C9" w:rsidRDefault="008625C9">
            <w:r>
              <w:t>Academic writing: Dr John Blaxland ANU</w:t>
            </w:r>
            <w:r w:rsidR="007B7796">
              <w:t xml:space="preserve"> (20 mins)</w:t>
            </w:r>
          </w:p>
          <w:p w:rsidR="007B7796" w:rsidRDefault="007B7796"/>
          <w:p w:rsidR="008625C9" w:rsidRDefault="008625C9">
            <w:r>
              <w:t>Podcasts: MAJ Tom McDermott and MAJ Mick Cook</w:t>
            </w:r>
            <w:r w:rsidR="007B7796">
              <w:t xml:space="preserve"> (20 mins)</w:t>
            </w:r>
          </w:p>
        </w:tc>
      </w:tr>
      <w:tr w:rsidR="008625C9" w:rsidTr="008625C9">
        <w:tc>
          <w:tcPr>
            <w:tcW w:w="1668" w:type="dxa"/>
          </w:tcPr>
          <w:p w:rsidR="008625C9" w:rsidRDefault="00A86AAD">
            <w:r>
              <w:t>1250</w:t>
            </w:r>
            <w:r w:rsidR="008625C9">
              <w:t>-1300</w:t>
            </w:r>
          </w:p>
        </w:tc>
        <w:tc>
          <w:tcPr>
            <w:tcW w:w="3827" w:type="dxa"/>
          </w:tcPr>
          <w:p w:rsidR="008625C9" w:rsidRDefault="008625C9">
            <w:r>
              <w:t>Closing Remarks</w:t>
            </w:r>
          </w:p>
        </w:tc>
        <w:tc>
          <w:tcPr>
            <w:tcW w:w="4359" w:type="dxa"/>
          </w:tcPr>
          <w:p w:rsidR="008625C9" w:rsidRDefault="008625C9">
            <w:r>
              <w:t>WGCDR Jo Brick</w:t>
            </w:r>
          </w:p>
        </w:tc>
      </w:tr>
    </w:tbl>
    <w:p w:rsidR="000613D7" w:rsidRDefault="000613D7"/>
    <w:p w:rsidR="00B10BCA" w:rsidRPr="00B10BCA" w:rsidRDefault="00B10BCA">
      <w:r>
        <w:rPr>
          <w:b/>
        </w:rPr>
        <w:t xml:space="preserve">Point of Contact: </w:t>
      </w:r>
      <w:r>
        <w:t>WGCDR Jo Brick (maria.brick@defence.gov.au)</w:t>
      </w:r>
    </w:p>
    <w:sectPr w:rsidR="00B10BCA" w:rsidRPr="00B10BCA" w:rsidSect="00BE4D3A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A4"/>
    <w:rsid w:val="000613D7"/>
    <w:rsid w:val="001812ED"/>
    <w:rsid w:val="002E44A4"/>
    <w:rsid w:val="00327A7C"/>
    <w:rsid w:val="00494752"/>
    <w:rsid w:val="005203C7"/>
    <w:rsid w:val="00687758"/>
    <w:rsid w:val="007B7796"/>
    <w:rsid w:val="008625C9"/>
    <w:rsid w:val="00A44D31"/>
    <w:rsid w:val="00A86AAD"/>
    <w:rsid w:val="00AE2106"/>
    <w:rsid w:val="00B10BCA"/>
    <w:rsid w:val="00B152A9"/>
    <w:rsid w:val="00B410F5"/>
    <w:rsid w:val="00BE4D3A"/>
    <w:rsid w:val="00C87922"/>
    <w:rsid w:val="00D97214"/>
    <w:rsid w:val="00DB0EDD"/>
    <w:rsid w:val="00DC2D4C"/>
    <w:rsid w:val="00F1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2016-11-16T08:55:00Z</dcterms:created>
  <dcterms:modified xsi:type="dcterms:W3CDTF">2016-11-16T09:08:00Z</dcterms:modified>
</cp:coreProperties>
</file>